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C7B" w:rsidRDefault="005D1972">
      <w:pPr>
        <w:spacing w:after="150"/>
        <w:jc w:val="right"/>
        <w:rPr>
          <w:rFonts w:ascii="Times New Roman" w:hAnsi="Times New Roman"/>
          <w:sz w:val="24"/>
          <w:szCs w:val="24"/>
        </w:rPr>
      </w:pP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w:t>
      </w:r>
    </w:p>
    <w:p w:rsidR="00280C7B" w:rsidRDefault="005D1972">
      <w:pPr>
        <w:shd w:val="clear" w:color="auto" w:fill="FFFFFF"/>
        <w:spacing w:after="0" w:line="240" w:lineRule="auto"/>
        <w:ind w:firstLine="720"/>
        <w:jc w:val="both"/>
      </w:pPr>
      <w:r>
        <w:rPr>
          <w:rFonts w:ascii="Times New Roman" w:eastAsia="Times New Roman" w:hAnsi="Times New Roman" w:cs="Times New Roman"/>
          <w:sz w:val="24"/>
          <w:szCs w:val="24"/>
        </w:rPr>
        <w:t xml:space="preserve">На основу </w:t>
      </w:r>
      <w:hyperlink r:id="rId8" w:anchor="c0200" w:history="1">
        <w:r>
          <w:rPr>
            <w:rStyle w:val="InternetLink"/>
            <w:rFonts w:ascii="Times New Roman" w:eastAsia="Times New Roman" w:hAnsi="Times New Roman" w:cs="Times New Roman"/>
            <w:color w:val="000000"/>
            <w:sz w:val="24"/>
            <w:szCs w:val="24"/>
            <w:u w:val="none"/>
          </w:rPr>
          <w:t>члана 200.</w:t>
        </w:r>
      </w:hyperlink>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став 6. Устава Републике Србије,</w:t>
      </w:r>
    </w:p>
    <w:p w:rsidR="00280C7B" w:rsidRDefault="005D1972">
      <w:pPr>
        <w:shd w:val="clear" w:color="auto" w:fill="FFFFFF"/>
        <w:spacing w:after="0" w:line="240" w:lineRule="auto"/>
        <w:ind w:firstLine="720"/>
        <w:jc w:val="both"/>
        <w:rPr>
          <w:rFonts w:ascii="Times New Roman" w:hAnsi="Times New Roman"/>
          <w:sz w:val="24"/>
          <w:szCs w:val="24"/>
        </w:rPr>
      </w:pPr>
      <w:r>
        <w:rPr>
          <w:rFonts w:ascii="Times New Roman" w:eastAsia="Times New Roman" w:hAnsi="Times New Roman" w:cs="Times New Roman"/>
          <w:sz w:val="24"/>
          <w:szCs w:val="24"/>
        </w:rPr>
        <w:t>Влада, уз супотпис председника Републике, доноси</w:t>
      </w:r>
    </w:p>
    <w:p w:rsidR="00280C7B" w:rsidRDefault="00280C7B">
      <w:pPr>
        <w:shd w:val="clear" w:color="auto" w:fill="FFFFFF"/>
        <w:spacing w:after="0" w:line="240" w:lineRule="auto"/>
        <w:ind w:firstLine="720"/>
        <w:jc w:val="both"/>
        <w:rPr>
          <w:rFonts w:eastAsia="Times New Roman" w:cs="Times New Roman"/>
        </w:rPr>
      </w:pPr>
    </w:p>
    <w:p w:rsidR="00280C7B" w:rsidRDefault="00280C7B">
      <w:pPr>
        <w:shd w:val="clear" w:color="auto" w:fill="FFFFFF"/>
        <w:spacing w:after="0" w:line="240" w:lineRule="auto"/>
        <w:jc w:val="center"/>
        <w:rPr>
          <w:rFonts w:eastAsia="Times New Roman" w:cs="Times New Roman"/>
        </w:rPr>
      </w:pPr>
    </w:p>
    <w:p w:rsidR="00280C7B" w:rsidRDefault="00280C7B">
      <w:pPr>
        <w:shd w:val="clear" w:color="auto" w:fill="FFFFFF"/>
        <w:spacing w:after="0" w:line="240" w:lineRule="auto"/>
        <w:jc w:val="center"/>
        <w:rPr>
          <w:rFonts w:eastAsia="Times New Roman" w:cs="Times New Roman"/>
        </w:rPr>
      </w:pPr>
    </w:p>
    <w:p w:rsidR="00280C7B" w:rsidRDefault="005D1972">
      <w:pPr>
        <w:shd w:val="clear" w:color="auto" w:fill="FFFFFF"/>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УРЕДБУ</w:t>
      </w: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t xml:space="preserve">О МЕРАМА У ДРУМСКОМ САОБРАЋАЈУ ЗА ВРЕМЕ  ВАНРЕДНОГ СТАЊА НАСТАЛОГ УСЛЕД БОЛЕСТИ </w:t>
      </w:r>
      <w:r>
        <w:rPr>
          <w:rFonts w:ascii="Times New Roman" w:hAnsi="Times New Roman"/>
          <w:color w:val="000000"/>
          <w:sz w:val="24"/>
          <w:szCs w:val="24"/>
        </w:rPr>
        <w:t>COVID-19 ИЗАЗВАНЕ ВИРУСОМ SARS-COV-2</w:t>
      </w:r>
    </w:p>
    <w:p w:rsidR="00280C7B" w:rsidRDefault="00280C7B">
      <w:pPr>
        <w:spacing w:after="0" w:line="240" w:lineRule="auto"/>
        <w:jc w:val="center"/>
        <w:rPr>
          <w:color w:val="000000"/>
        </w:rPr>
      </w:pPr>
    </w:p>
    <w:p w:rsidR="00280C7B" w:rsidRDefault="00280C7B">
      <w:pPr>
        <w:spacing w:after="0" w:line="240" w:lineRule="auto"/>
        <w:jc w:val="center"/>
        <w:rPr>
          <w:rFonts w:ascii="Times New Roman" w:hAnsi="Times New Roman"/>
          <w:color w:val="000000"/>
          <w:sz w:val="24"/>
          <w:szCs w:val="24"/>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t>Члан 1.</w:t>
      </w:r>
    </w:p>
    <w:p w:rsidR="00280C7B" w:rsidRDefault="005D1972">
      <w:pPr>
        <w:spacing w:after="0" w:line="240" w:lineRule="auto"/>
        <w:jc w:val="both"/>
        <w:rPr>
          <w:rFonts w:ascii="Times New Roman" w:hAnsi="Times New Roman"/>
          <w:sz w:val="24"/>
          <w:szCs w:val="24"/>
        </w:rPr>
      </w:pPr>
      <w:r>
        <w:rPr>
          <w:rFonts w:ascii="Times New Roman" w:hAnsi="Times New Roman"/>
          <w:color w:val="000000"/>
          <w:sz w:val="24"/>
          <w:szCs w:val="24"/>
        </w:rPr>
        <w:tab/>
        <w:t>Овом уредбом прописују се мере у друмском саобраћају за време ванредног стања проглашеног 15. марта 2020. године услед појаве и ширења болести COVID-19 изазване вирусом SARS-CoV-2 (у даљем тексту: ванредно стање).</w:t>
      </w:r>
    </w:p>
    <w:p w:rsidR="00280C7B" w:rsidRDefault="00280C7B">
      <w:pPr>
        <w:spacing w:after="0" w:line="240" w:lineRule="auto"/>
        <w:jc w:val="center"/>
        <w:rPr>
          <w:rFonts w:ascii="Times New Roman" w:hAnsi="Times New Roman" w:cs="Times New Roman"/>
          <w:b/>
          <w:sz w:val="24"/>
          <w:szCs w:val="24"/>
        </w:rPr>
      </w:pPr>
    </w:p>
    <w:p w:rsidR="00280C7B" w:rsidRDefault="005D1972">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Члан 2.</w:t>
      </w:r>
    </w:p>
    <w:p w:rsidR="00280C7B" w:rsidRDefault="005D19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Поступак усаглашавања предлога редова вожње у међумесном превозу путника за 2020. годину прекида се.</w:t>
      </w:r>
      <w:r>
        <w:rPr>
          <w:rFonts w:ascii="Times New Roman" w:hAnsi="Times New Roman" w:cs="Times New Roman"/>
          <w:sz w:val="24"/>
          <w:szCs w:val="24"/>
        </w:rPr>
        <w:tab/>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Привредна комора Србије објединиће спровођење поступка из става 1. овог члана са поступком усаглашавања предлога редова вожње са регистрованим редовима вожње у међумесном превозу путника за 2021. годину.</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У обједињеном поступку из става 2. овог члана, разматраће се и захтеви за усаглашавање предложених редова вожње са регистрованим редовима вожње у међумесном превозу путника који су са прилозима достављени Привредној комори Србије у 2020. години.</w:t>
      </w:r>
    </w:p>
    <w:p w:rsidR="00280C7B" w:rsidRDefault="00280C7B">
      <w:pPr>
        <w:spacing w:after="0" w:line="240" w:lineRule="auto"/>
        <w:jc w:val="both"/>
        <w:rPr>
          <w:rFonts w:cs="Times New Roman"/>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t>Члан 3.</w:t>
      </w:r>
    </w:p>
    <w:p w:rsidR="00280C7B" w:rsidRDefault="005D19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Априлска ревизија појединачног плана расподеле међународних дозвола за превоз терета за 2020. годину утврдиће се у року који је уредбом којом се уређује </w:t>
      </w:r>
      <w:r>
        <w:rPr>
          <w:rFonts w:ascii="Times New Roman" w:hAnsi="Times New Roman" w:cs="Times New Roman"/>
          <w:color w:val="000000"/>
          <w:sz w:val="24"/>
          <w:szCs w:val="24"/>
        </w:rPr>
        <w:t>расподела страних дозвола за међународни јавни превоз ствари домаћим превозницима</w:t>
      </w:r>
      <w:r>
        <w:rPr>
          <w:rFonts w:ascii="Times New Roman" w:hAnsi="Times New Roman" w:cs="Times New Roman"/>
          <w:sz w:val="24"/>
          <w:szCs w:val="24"/>
        </w:rPr>
        <w:t xml:space="preserve"> (у даљем тексту: Уредба) прописан за јунску ревизију.</w:t>
      </w:r>
      <w:r>
        <w:rPr>
          <w:rFonts w:ascii="Times New Roman" w:hAnsi="Times New Roman" w:cs="Times New Roman"/>
          <w:sz w:val="24"/>
          <w:szCs w:val="24"/>
        </w:rPr>
        <w:tab/>
      </w:r>
    </w:p>
    <w:p w:rsidR="00280C7B" w:rsidRDefault="005D19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Захтеви поднети за утврђивање априлске ревизије појединачног плана расподеле међународних дозвола за превоз терета за 2020. годину, не подносе се поново. </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Домаћи превозници који нису поднели захтев за утврђивање априлске ревизије појединачног плана расподеле међународних дозвола за превоз терета за 2020. годину, тај захтев подносе у року који је Уредбом прописан за подношење захтева за јунску ревизију.</w:t>
      </w:r>
    </w:p>
    <w:p w:rsidR="00280C7B" w:rsidRDefault="00280C7B">
      <w:pPr>
        <w:spacing w:after="0" w:line="240" w:lineRule="auto"/>
        <w:jc w:val="center"/>
        <w:rPr>
          <w:rFonts w:cs="Times New Roman"/>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t>Члан 4.</w:t>
      </w:r>
    </w:p>
    <w:p w:rsidR="00280C7B" w:rsidRDefault="005D19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Јунска ревизија појединачног плана расподеле међународних дозвола за превоз терета за 2020. годину утврдиће се у року који је Уредбом прописан за септембарску ревизију.</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Захтеви за утврђивање јунске ревизије појединачног плана расподеле међународних дозвола за превоз терета за 2020. годину подносе се у року који је Уредбом прописан за подношење захтева за септембарску ревизију.</w:t>
      </w:r>
    </w:p>
    <w:p w:rsidR="00280C7B" w:rsidRDefault="00280C7B">
      <w:pPr>
        <w:spacing w:after="0" w:line="240" w:lineRule="auto"/>
        <w:jc w:val="both"/>
        <w:rPr>
          <w:rFonts w:cs="Times New Roman"/>
        </w:rPr>
      </w:pPr>
    </w:p>
    <w:p w:rsidR="00280C7B" w:rsidRDefault="00280C7B">
      <w:pPr>
        <w:spacing w:after="0" w:line="240" w:lineRule="auto"/>
        <w:jc w:val="both"/>
        <w:rPr>
          <w:rFonts w:cs="Times New Roman"/>
        </w:rPr>
      </w:pPr>
    </w:p>
    <w:p w:rsidR="00280C7B" w:rsidRDefault="00280C7B">
      <w:pPr>
        <w:spacing w:after="0" w:line="240" w:lineRule="auto"/>
        <w:jc w:val="center"/>
        <w:rPr>
          <w:rFonts w:cs="Times New Roman"/>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lastRenderedPageBreak/>
        <w:t>Члан 5.</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Септембарска ревизија појединачног плана расподеле међународних дозвола за превоз терета за 2020. годину неће се утврђивати.</w:t>
      </w:r>
    </w:p>
    <w:p w:rsidR="00280C7B" w:rsidRDefault="00280C7B">
      <w:pPr>
        <w:spacing w:after="0" w:line="240" w:lineRule="auto"/>
        <w:jc w:val="both"/>
        <w:rPr>
          <w:rFonts w:cs="Times New Roman"/>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sz w:val="24"/>
          <w:szCs w:val="24"/>
        </w:rPr>
        <w:t>Члан 6.</w:t>
      </w:r>
    </w:p>
    <w:p w:rsidR="00280C7B" w:rsidRDefault="005D1972">
      <w:pPr>
        <w:pStyle w:val="Header"/>
        <w:ind w:firstLine="720"/>
        <w:jc w:val="both"/>
      </w:pPr>
      <w:r>
        <w:t>Потврде ЦЕМТ о способности теретног и прикључног возила за коришћење у друмском саобраћају, за потребе коришћења ЦЕМТ мултилатералне квоте у текућој години, којима је рок важења истекао после 12. марта 2020. године, односно којима рок важења истиче закључно са 29. јуном 2020. године, сматраће се важећим закључно са 30. јуном 2020. године, у складу са мерама које је одредио Међународни транспортни форум.</w:t>
      </w:r>
    </w:p>
    <w:p w:rsidR="00280C7B" w:rsidRDefault="005D1972">
      <w:pPr>
        <w:pStyle w:val="Header"/>
        <w:ind w:firstLine="720"/>
        <w:jc w:val="both"/>
      </w:pPr>
      <w:r>
        <w:t>Ефикасност коришћења ЦЕМТ мултилатералне квоте у текућој години неће се утврђивати за период трајања ванредног стања.</w:t>
      </w:r>
    </w:p>
    <w:p w:rsidR="00280C7B" w:rsidRDefault="00280C7B">
      <w:pPr>
        <w:pStyle w:val="Header"/>
        <w:ind w:firstLine="720"/>
        <w:jc w:val="both"/>
        <w:rPr>
          <w:b/>
        </w:rPr>
      </w:pPr>
    </w:p>
    <w:p w:rsidR="00280C7B" w:rsidRDefault="005D1972">
      <w:pPr>
        <w:pStyle w:val="ListParagraph"/>
        <w:tabs>
          <w:tab w:val="center" w:pos="4320"/>
          <w:tab w:val="right" w:pos="8640"/>
        </w:tabs>
        <w:spacing w:after="0" w:line="240" w:lineRule="auto"/>
        <w:ind w:left="0"/>
        <w:jc w:val="center"/>
        <w:rPr>
          <w:rFonts w:ascii="Times New Roman" w:hAnsi="Times New Roman"/>
          <w:sz w:val="24"/>
          <w:szCs w:val="24"/>
        </w:rPr>
      </w:pPr>
      <w:r>
        <w:rPr>
          <w:rFonts w:ascii="Times New Roman" w:hAnsi="Times New Roman" w:cs="Times New Roman"/>
          <w:sz w:val="24"/>
          <w:szCs w:val="24"/>
        </w:rPr>
        <w:t>Члан 7.</w:t>
      </w:r>
    </w:p>
    <w:p w:rsidR="00280C7B" w:rsidRDefault="005D1972">
      <w:pPr>
        <w:spacing w:after="0" w:line="240" w:lineRule="auto"/>
        <w:jc w:val="both"/>
        <w:rPr>
          <w:rFonts w:ascii="Times New Roman" w:hAnsi="Times New Roman"/>
          <w:sz w:val="24"/>
          <w:szCs w:val="24"/>
        </w:rPr>
      </w:pPr>
      <w:r>
        <w:rPr>
          <w:rFonts w:ascii="Times New Roman" w:hAnsi="Times New Roman"/>
          <w:color w:val="000000"/>
          <w:sz w:val="24"/>
          <w:szCs w:val="24"/>
        </w:rPr>
        <w:tab/>
        <w:t xml:space="preserve">У складу са одредбама </w:t>
      </w:r>
      <w:r>
        <w:rPr>
          <w:rFonts w:ascii="Times New Roman" w:hAnsi="Times New Roman"/>
          <w:sz w:val="24"/>
          <w:szCs w:val="24"/>
        </w:rPr>
        <w:t>Уредбе о мерама за време ванредног стања („Службени гласник РС</w:t>
      </w:r>
      <w:r>
        <w:rPr>
          <w:rFonts w:ascii="Times New Roman" w:eastAsia="Times New Roman" w:hAnsi="Times New Roman"/>
          <w:sz w:val="24"/>
          <w:szCs w:val="24"/>
        </w:rPr>
        <w:t>”</w:t>
      </w:r>
      <w:r>
        <w:rPr>
          <w:rFonts w:ascii="Times New Roman" w:hAnsi="Times New Roman"/>
          <w:sz w:val="24"/>
          <w:szCs w:val="24"/>
        </w:rPr>
        <w:t xml:space="preserve">, бр. </w:t>
      </w:r>
      <w:r>
        <w:rPr>
          <w:rFonts w:ascii="Times New Roman" w:hAnsi="Times New Roman"/>
          <w:color w:val="000000"/>
          <w:sz w:val="24"/>
          <w:szCs w:val="24"/>
        </w:rPr>
        <w:t>31/20, 36/20, 38/20, 39/20, 43/20, 47/20, 49/20 и 53/20), којима се уређује јавни превоз у друмском саобраћају, м</w:t>
      </w:r>
      <w:r>
        <w:rPr>
          <w:rFonts w:ascii="Times New Roman" w:hAnsi="Times New Roman"/>
          <w:sz w:val="24"/>
          <w:szCs w:val="24"/>
        </w:rPr>
        <w:t>инистарство надлежно за послове саобраћаја за време ванредног стања врши пријем странака из следећих разлога:</w:t>
      </w:r>
    </w:p>
    <w:p w:rsidR="00280C7B" w:rsidRDefault="005D1972">
      <w:pPr>
        <w:numPr>
          <w:ilvl w:val="0"/>
          <w:numId w:val="1"/>
        </w:numPr>
        <w:tabs>
          <w:tab w:val="left" w:pos="990"/>
        </w:tabs>
        <w:spacing w:after="0" w:line="240" w:lineRule="auto"/>
        <w:ind w:left="0" w:firstLine="720"/>
        <w:jc w:val="both"/>
        <w:rPr>
          <w:rFonts w:ascii="Times New Roman" w:hAnsi="Times New Roman"/>
          <w:sz w:val="24"/>
          <w:szCs w:val="24"/>
        </w:rPr>
      </w:pPr>
      <w:r>
        <w:rPr>
          <w:rFonts w:ascii="Times New Roman" w:hAnsi="Times New Roman"/>
          <w:sz w:val="24"/>
          <w:szCs w:val="24"/>
        </w:rPr>
        <w:t>ради доделе појединачних дозвола за међународни превоз терета;</w:t>
      </w:r>
    </w:p>
    <w:p w:rsidR="00280C7B" w:rsidRDefault="005D1972">
      <w:pPr>
        <w:numPr>
          <w:ilvl w:val="0"/>
          <w:numId w:val="1"/>
        </w:numPr>
        <w:tabs>
          <w:tab w:val="left" w:pos="990"/>
        </w:tabs>
        <w:spacing w:after="0" w:line="240" w:lineRule="auto"/>
        <w:ind w:left="0" w:firstLine="720"/>
        <w:jc w:val="both"/>
        <w:rPr>
          <w:rFonts w:ascii="Times New Roman" w:hAnsi="Times New Roman"/>
          <w:sz w:val="24"/>
          <w:szCs w:val="24"/>
        </w:rPr>
      </w:pPr>
      <w:r>
        <w:rPr>
          <w:rFonts w:ascii="Times New Roman" w:hAnsi="Times New Roman"/>
          <w:sz w:val="24"/>
          <w:szCs w:val="24"/>
        </w:rPr>
        <w:t>ради издавања потврда ЦЕМТ о способности теретног и прикључног возила за коришћење у друмском саобраћају;</w:t>
      </w:r>
    </w:p>
    <w:p w:rsidR="00280C7B" w:rsidRDefault="005D1972">
      <w:pPr>
        <w:numPr>
          <w:ilvl w:val="0"/>
          <w:numId w:val="1"/>
        </w:numPr>
        <w:tabs>
          <w:tab w:val="left" w:pos="990"/>
        </w:tabs>
        <w:spacing w:after="0" w:line="240" w:lineRule="auto"/>
        <w:ind w:left="0" w:firstLine="720"/>
        <w:jc w:val="both"/>
        <w:rPr>
          <w:rFonts w:ascii="Times New Roman" w:hAnsi="Times New Roman"/>
          <w:sz w:val="24"/>
          <w:szCs w:val="24"/>
        </w:rPr>
      </w:pPr>
      <w:r>
        <w:rPr>
          <w:rFonts w:ascii="Times New Roman" w:hAnsi="Times New Roman"/>
          <w:sz w:val="24"/>
          <w:szCs w:val="24"/>
        </w:rPr>
        <w:t>ради издавања лиценци за јавни превоз терета у друмском саобраћају и извода лиценци за превоз за теретно возило;</w:t>
      </w:r>
    </w:p>
    <w:p w:rsidR="00280C7B" w:rsidRDefault="005D1972">
      <w:pPr>
        <w:numPr>
          <w:ilvl w:val="0"/>
          <w:numId w:val="1"/>
        </w:numPr>
        <w:tabs>
          <w:tab w:val="left" w:pos="99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ради издавања сертификата </w:t>
      </w:r>
      <w:r>
        <w:rPr>
          <w:rFonts w:ascii="Times New Roman" w:hAnsi="Times New Roman"/>
          <w:color w:val="000000"/>
          <w:sz w:val="24"/>
          <w:szCs w:val="24"/>
        </w:rPr>
        <w:t>о професионалној оспособљености</w:t>
      </w:r>
      <w:r>
        <w:rPr>
          <w:rFonts w:ascii="Times New Roman" w:hAnsi="Times New Roman"/>
          <w:sz w:val="24"/>
          <w:szCs w:val="24"/>
        </w:rPr>
        <w:t xml:space="preserve"> за лица одговорна за превоз.  </w:t>
      </w:r>
    </w:p>
    <w:p w:rsidR="00280C7B" w:rsidRDefault="00280C7B">
      <w:pPr>
        <w:tabs>
          <w:tab w:val="left" w:pos="990"/>
        </w:tabs>
        <w:spacing w:after="0" w:line="240" w:lineRule="auto"/>
        <w:ind w:left="720"/>
        <w:jc w:val="both"/>
        <w:rPr>
          <w:rFonts w:ascii="Times New Roman" w:hAnsi="Times New Roman"/>
          <w:sz w:val="24"/>
          <w:szCs w:val="24"/>
        </w:rPr>
      </w:pPr>
    </w:p>
    <w:p w:rsidR="00280C7B" w:rsidRDefault="005D1972">
      <w:pPr>
        <w:tabs>
          <w:tab w:val="left" w:pos="990"/>
        </w:tabs>
        <w:spacing w:after="0" w:line="240" w:lineRule="auto"/>
        <w:jc w:val="center"/>
        <w:rPr>
          <w:rFonts w:ascii="Times New Roman" w:hAnsi="Times New Roman"/>
          <w:sz w:val="24"/>
          <w:szCs w:val="24"/>
        </w:rPr>
      </w:pPr>
      <w:r>
        <w:rPr>
          <w:rFonts w:ascii="Times New Roman" w:hAnsi="Times New Roman"/>
          <w:sz w:val="24"/>
          <w:szCs w:val="24"/>
        </w:rPr>
        <w:t>Члан 8.</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 xml:space="preserve">Теретна возила која су до дана проглашења ванредног стања пријављена  министарству надлежном за послове </w:t>
      </w:r>
      <w:r w:rsidR="001C78D7">
        <w:rPr>
          <w:rFonts w:ascii="Times New Roman" w:hAnsi="Times New Roman" w:cs="Times New Roman"/>
          <w:sz w:val="24"/>
          <w:szCs w:val="24"/>
        </w:rPr>
        <w:t>саобраћаја</w:t>
      </w:r>
      <w:r>
        <w:rPr>
          <w:rFonts w:ascii="Times New Roman" w:hAnsi="Times New Roman" w:cs="Times New Roman"/>
          <w:sz w:val="24"/>
          <w:szCs w:val="24"/>
        </w:rPr>
        <w:t xml:space="preserve"> као возила која се користе на основу уговора о финансијском лизингу или  уговора о закупу, а тај уговор о финансијском лизингу или закупу је истекао или истиче за време ванредног стања, настављају да се користе по истом основу до дана престанка ванредног стања, ако превозник не поднесе захтев за промену основа коришћења теретног возила.</w:t>
      </w:r>
    </w:p>
    <w:p w:rsidR="00280C7B" w:rsidRDefault="005D1972">
      <w:pPr>
        <w:spacing w:after="0" w:line="240" w:lineRule="auto"/>
        <w:jc w:val="both"/>
        <w:rPr>
          <w:rFonts w:ascii="Times New Roman" w:hAnsi="Times New Roman"/>
          <w:sz w:val="24"/>
          <w:szCs w:val="24"/>
        </w:rPr>
      </w:pPr>
      <w:r>
        <w:rPr>
          <w:rFonts w:ascii="Times New Roman" w:hAnsi="Times New Roman" w:cs="Times New Roman"/>
          <w:sz w:val="24"/>
          <w:szCs w:val="24"/>
        </w:rPr>
        <w:tab/>
        <w:t>До дана престанка ванредног стања домаћи превозници нису дужни да министарству надлежном за послове саобраћаја пријављују промену основа коришћења теретних возила која имају у возном парку, као ни да том министарству враћају изводе лиценци за та возила.</w:t>
      </w:r>
    </w:p>
    <w:p w:rsidR="00280C7B" w:rsidRDefault="00280C7B">
      <w:pPr>
        <w:spacing w:after="0" w:line="240" w:lineRule="auto"/>
        <w:jc w:val="both"/>
        <w:rPr>
          <w:rFonts w:cs="Times New Roman"/>
        </w:rPr>
      </w:pPr>
    </w:p>
    <w:p w:rsidR="00280C7B" w:rsidRDefault="005D1972">
      <w:pPr>
        <w:spacing w:after="0" w:line="240" w:lineRule="auto"/>
        <w:jc w:val="center"/>
        <w:rPr>
          <w:rFonts w:ascii="Times New Roman" w:hAnsi="Times New Roman"/>
          <w:sz w:val="24"/>
          <w:szCs w:val="24"/>
        </w:rPr>
      </w:pPr>
      <w:r>
        <w:rPr>
          <w:rFonts w:ascii="Times New Roman" w:hAnsi="Times New Roman"/>
          <w:sz w:val="24"/>
          <w:szCs w:val="24"/>
        </w:rPr>
        <w:t>Члан 9.</w:t>
      </w:r>
    </w:p>
    <w:p w:rsidR="00280C7B" w:rsidRDefault="005D1972">
      <w:pPr>
        <w:spacing w:after="0" w:line="240" w:lineRule="auto"/>
        <w:jc w:val="both"/>
      </w:pPr>
      <w:r>
        <w:rPr>
          <w:rFonts w:ascii="Times New Roman" w:hAnsi="Times New Roman" w:cs="Times New Roman"/>
          <w:sz w:val="24"/>
          <w:szCs w:val="24"/>
        </w:rPr>
        <w:tab/>
        <w:t>Возачи који су после 29. децембра 2019. године стекли возачку дозволу за управљање моторним возилом, односно скупом возила, категорија C, C1, D, D1, CE, C1E, DE или D1E, могу да обављају</w:t>
      </w:r>
      <w:r>
        <w:rPr>
          <w:rFonts w:ascii="Times New Roman" w:hAnsi="Times New Roman"/>
          <w:sz w:val="24"/>
          <w:szCs w:val="24"/>
        </w:rPr>
        <w:t xml:space="preserve"> </w:t>
      </w:r>
      <w:r>
        <w:rPr>
          <w:rFonts w:ascii="Times New Roman" w:hAnsi="Times New Roman" w:cs="Times New Roman"/>
          <w:sz w:val="24"/>
          <w:szCs w:val="24"/>
        </w:rPr>
        <w:t xml:space="preserve">послове професионалног возача без стечене почетне квалификације за време ванредног стања, као и за време које је после престанка ванредног стања потребно за спровођење обуке и полагање испита за стицање почетне квалификације прописане законом којим се уређује безбедност саобраћаја на путевима и правилником којим се уређују </w:t>
      </w:r>
      <w:r>
        <w:rPr>
          <w:rFonts w:ascii="Times New Roman" w:hAnsi="Times New Roman" w:cs="Times New Roman"/>
          <w:color w:val="000000"/>
          <w:sz w:val="24"/>
          <w:szCs w:val="24"/>
        </w:rPr>
        <w:t>услови и начин стицања сертификата о стручној компетентности и квалификационе картице возача, а најкасније 60 дана од дана престанка ванредног стања.</w:t>
      </w:r>
    </w:p>
    <w:p w:rsidR="00280C7B" w:rsidRDefault="00280C7B">
      <w:pPr>
        <w:spacing w:after="0" w:line="240" w:lineRule="auto"/>
        <w:jc w:val="both"/>
        <w:rPr>
          <w:rFonts w:ascii="Times New Roman" w:hAnsi="Times New Roman"/>
          <w:sz w:val="24"/>
          <w:szCs w:val="24"/>
        </w:rPr>
      </w:pPr>
    </w:p>
    <w:p w:rsidR="00280C7B" w:rsidRDefault="00280C7B">
      <w:pPr>
        <w:spacing w:after="0" w:line="240" w:lineRule="auto"/>
        <w:jc w:val="both"/>
        <w:rPr>
          <w:rFonts w:cs="Times New Roman"/>
          <w:color w:val="000000"/>
        </w:rPr>
      </w:pPr>
    </w:p>
    <w:p w:rsidR="00280C7B" w:rsidRDefault="00280C7B">
      <w:pPr>
        <w:spacing w:after="0" w:line="240" w:lineRule="auto"/>
        <w:jc w:val="both"/>
        <w:rPr>
          <w:rFonts w:cs="Times New Roman"/>
          <w:color w:val="000000"/>
        </w:rPr>
      </w:pPr>
    </w:p>
    <w:p w:rsidR="00280C7B" w:rsidRDefault="005D1972">
      <w:pPr>
        <w:spacing w:after="0" w:line="240" w:lineRule="auto"/>
        <w:jc w:val="center"/>
        <w:rPr>
          <w:rFonts w:ascii="Times New Roman" w:hAnsi="Times New Roman"/>
          <w:sz w:val="24"/>
          <w:szCs w:val="24"/>
        </w:rPr>
      </w:pPr>
      <w:r>
        <w:rPr>
          <w:rFonts w:ascii="Times New Roman" w:hAnsi="Times New Roman" w:cs="Times New Roman"/>
          <w:color w:val="000000"/>
          <w:sz w:val="24"/>
          <w:szCs w:val="24"/>
        </w:rPr>
        <w:lastRenderedPageBreak/>
        <w:t>Члан 10.</w:t>
      </w:r>
    </w:p>
    <w:p w:rsidR="00280C7B" w:rsidRDefault="005D19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Ова уредба ступа на снагу даном објављивања у „</w:t>
      </w:r>
      <w:proofErr w:type="spellStart"/>
      <w:r>
        <w:rPr>
          <w:rFonts w:ascii="Times New Roman" w:hAnsi="Times New Roman" w:cs="Times New Roman"/>
          <w:sz w:val="24"/>
          <w:szCs w:val="24"/>
        </w:rPr>
        <w:t>Службеном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гласнику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Pепублике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Cрбије</w:t>
      </w:r>
      <w:proofErr w:type="spellEnd"/>
      <w:r>
        <w:rPr>
          <w:rFonts w:ascii="Times New Roman" w:hAnsi="Times New Roman" w:cs="Times New Roman"/>
          <w:sz w:val="24"/>
          <w:szCs w:val="24"/>
        </w:rPr>
        <w:t>”.</w:t>
      </w:r>
    </w:p>
    <w:p w:rsidR="00C1130A" w:rsidRDefault="00C1130A">
      <w:pPr>
        <w:spacing w:after="0" w:line="240" w:lineRule="auto"/>
        <w:jc w:val="both"/>
        <w:rPr>
          <w:rFonts w:ascii="Times New Roman" w:hAnsi="Times New Roman" w:cs="Times New Roman"/>
          <w:sz w:val="24"/>
          <w:szCs w:val="24"/>
        </w:rPr>
      </w:pPr>
    </w:p>
    <w:p w:rsidR="00C1130A" w:rsidRDefault="00C1130A">
      <w:pPr>
        <w:spacing w:after="0" w:line="240" w:lineRule="auto"/>
        <w:jc w:val="both"/>
        <w:rPr>
          <w:rFonts w:ascii="Times New Roman" w:hAnsi="Times New Roman" w:cs="Times New Roman"/>
          <w:sz w:val="24"/>
          <w:szCs w:val="24"/>
        </w:rPr>
      </w:pPr>
    </w:p>
    <w:p w:rsidR="00C1130A" w:rsidRDefault="00C1130A">
      <w:pPr>
        <w:spacing w:after="0" w:line="240" w:lineRule="auto"/>
        <w:jc w:val="both"/>
        <w:rPr>
          <w:rFonts w:ascii="Times New Roman" w:hAnsi="Times New Roman" w:cs="Times New Roman"/>
          <w:sz w:val="24"/>
          <w:szCs w:val="24"/>
        </w:rPr>
      </w:pPr>
    </w:p>
    <w:p w:rsidR="00C1130A" w:rsidRPr="00C1130A" w:rsidRDefault="00C1130A">
      <w:pPr>
        <w:spacing w:after="0" w:line="240" w:lineRule="auto"/>
        <w:jc w:val="both"/>
        <w:rPr>
          <w:rFonts w:ascii="Times New Roman" w:hAnsi="Times New Roman"/>
          <w:sz w:val="24"/>
          <w:szCs w:val="24"/>
          <w:lang w:val="sr-Cyrl-RS"/>
        </w:rPr>
      </w:pPr>
      <w:r>
        <w:rPr>
          <w:rFonts w:ascii="Times New Roman" w:hAnsi="Times New Roman" w:cs="Times New Roman"/>
          <w:sz w:val="24"/>
          <w:szCs w:val="24"/>
          <w:lang w:val="sr-Cyrl-RS"/>
        </w:rPr>
        <w:t>05 Број: 53-3156/2020</w:t>
      </w:r>
    </w:p>
    <w:p w:rsidR="00C1130A" w:rsidRPr="00C1130A" w:rsidRDefault="00C1130A" w:rsidP="00C1130A">
      <w:pPr>
        <w:spacing w:line="240" w:lineRule="auto"/>
        <w:rPr>
          <w:rFonts w:ascii="Times New Roman" w:hAnsi="Times New Roman" w:cs="Times New Roman"/>
          <w:sz w:val="24"/>
          <w:szCs w:val="24"/>
          <w:lang w:val="sr-Latn-CS"/>
        </w:rPr>
      </w:pPr>
      <w:r w:rsidRPr="00C1130A">
        <w:rPr>
          <w:rFonts w:ascii="Times New Roman" w:hAnsi="Times New Roman" w:cs="Times New Roman"/>
          <w:sz w:val="24"/>
          <w:szCs w:val="24"/>
          <w:lang w:val="sr-Cyrl-CS"/>
        </w:rPr>
        <w:t>У</w:t>
      </w:r>
      <w:r w:rsidRPr="00C1130A">
        <w:rPr>
          <w:rFonts w:ascii="Times New Roman" w:hAnsi="Times New Roman" w:cs="Times New Roman"/>
          <w:sz w:val="24"/>
          <w:szCs w:val="24"/>
          <w:lang w:val="sr-Latn-CS"/>
        </w:rPr>
        <w:t xml:space="preserve"> </w:t>
      </w:r>
      <w:r w:rsidRPr="00C1130A">
        <w:rPr>
          <w:rFonts w:ascii="Times New Roman" w:hAnsi="Times New Roman" w:cs="Times New Roman"/>
          <w:sz w:val="24"/>
          <w:szCs w:val="24"/>
          <w:lang w:val="sr-Cyrl-CS"/>
        </w:rPr>
        <w:t>Београду</w:t>
      </w:r>
      <w:r w:rsidRPr="00C1130A">
        <w:rPr>
          <w:rFonts w:ascii="Times New Roman" w:hAnsi="Times New Roman" w:cs="Times New Roman"/>
          <w:sz w:val="24"/>
          <w:szCs w:val="24"/>
          <w:lang w:val="sr-Latn-CS"/>
        </w:rPr>
        <w:t>,</w:t>
      </w:r>
      <w:r w:rsidRPr="00C1130A">
        <w:rPr>
          <w:rFonts w:ascii="Times New Roman" w:hAnsi="Times New Roman" w:cs="Times New Roman"/>
          <w:sz w:val="24"/>
          <w:szCs w:val="24"/>
          <w:lang w:val="sr-Cyrl-CS"/>
        </w:rPr>
        <w:t xml:space="preserve"> </w:t>
      </w:r>
      <w:r w:rsidRPr="00C1130A">
        <w:rPr>
          <w:rFonts w:ascii="Times New Roman" w:hAnsi="Times New Roman" w:cs="Times New Roman"/>
          <w:sz w:val="24"/>
          <w:szCs w:val="24"/>
        </w:rPr>
        <w:t>13</w:t>
      </w:r>
      <w:r w:rsidRPr="00C1130A">
        <w:rPr>
          <w:rFonts w:ascii="Times New Roman" w:hAnsi="Times New Roman" w:cs="Times New Roman"/>
          <w:sz w:val="24"/>
          <w:szCs w:val="24"/>
          <w:lang w:val="sr-Cyrl-CS"/>
        </w:rPr>
        <w:t xml:space="preserve">. </w:t>
      </w:r>
      <w:r w:rsidRPr="00C1130A">
        <w:rPr>
          <w:rFonts w:ascii="Times New Roman" w:hAnsi="Times New Roman" w:cs="Times New Roman"/>
          <w:sz w:val="24"/>
          <w:szCs w:val="24"/>
          <w:lang w:val="sr-Cyrl-RS"/>
        </w:rPr>
        <w:t xml:space="preserve">априла </w:t>
      </w:r>
      <w:r w:rsidRPr="00C1130A">
        <w:rPr>
          <w:rFonts w:ascii="Times New Roman" w:hAnsi="Times New Roman" w:cs="Times New Roman"/>
          <w:sz w:val="24"/>
          <w:szCs w:val="24"/>
          <w:lang w:val="sr-Cyrl-CS"/>
        </w:rPr>
        <w:t>2020</w:t>
      </w:r>
      <w:r w:rsidRPr="00C1130A">
        <w:rPr>
          <w:rFonts w:ascii="Times New Roman" w:hAnsi="Times New Roman" w:cs="Times New Roman"/>
          <w:sz w:val="24"/>
          <w:szCs w:val="24"/>
          <w:lang w:val="sr-Latn-CS"/>
        </w:rPr>
        <w:t xml:space="preserve">. </w:t>
      </w:r>
      <w:r w:rsidRPr="00C1130A">
        <w:rPr>
          <w:rFonts w:ascii="Times New Roman" w:hAnsi="Times New Roman" w:cs="Times New Roman"/>
          <w:sz w:val="24"/>
          <w:szCs w:val="24"/>
          <w:lang w:val="sr-Cyrl-CS"/>
        </w:rPr>
        <w:t>године</w:t>
      </w:r>
    </w:p>
    <w:p w:rsidR="00C1130A" w:rsidRPr="00BA1D17" w:rsidRDefault="00C1130A" w:rsidP="00C1130A">
      <w:pPr>
        <w:rPr>
          <w:lang w:val="sr-Cyrl-CS"/>
        </w:rPr>
      </w:pPr>
    </w:p>
    <w:p w:rsidR="00C1130A" w:rsidRDefault="00C1130A" w:rsidP="00C1130A">
      <w:pPr>
        <w:pStyle w:val="1tekst"/>
        <w:spacing w:before="0" w:after="0"/>
        <w:ind w:hanging="26"/>
        <w:jc w:val="center"/>
        <w:rPr>
          <w:spacing w:val="40"/>
          <w:szCs w:val="24"/>
          <w:lang w:val="sr-Cyrl-CS"/>
        </w:rPr>
      </w:pPr>
      <w:r w:rsidRPr="00647DD1">
        <w:rPr>
          <w:spacing w:val="40"/>
          <w:szCs w:val="24"/>
          <w:lang w:val="sr-Cyrl-CS"/>
        </w:rPr>
        <w:t>В</w:t>
      </w:r>
      <w:r w:rsidRPr="00647DD1">
        <w:rPr>
          <w:spacing w:val="40"/>
          <w:szCs w:val="24"/>
          <w:lang w:val="sr-Latn-CS"/>
        </w:rPr>
        <w:t xml:space="preserve"> </w:t>
      </w:r>
      <w:r w:rsidRPr="00647DD1">
        <w:rPr>
          <w:spacing w:val="40"/>
          <w:szCs w:val="24"/>
          <w:lang w:val="sr-Cyrl-CS"/>
        </w:rPr>
        <w:t>Л</w:t>
      </w:r>
      <w:r w:rsidRPr="00647DD1">
        <w:rPr>
          <w:spacing w:val="40"/>
          <w:szCs w:val="24"/>
          <w:lang w:val="sr-Latn-CS"/>
        </w:rPr>
        <w:t xml:space="preserve"> </w:t>
      </w:r>
      <w:r w:rsidRPr="00647DD1">
        <w:rPr>
          <w:spacing w:val="40"/>
          <w:szCs w:val="24"/>
          <w:lang w:val="sr-Cyrl-CS"/>
        </w:rPr>
        <w:t>А</w:t>
      </w:r>
      <w:r w:rsidRPr="00647DD1">
        <w:rPr>
          <w:spacing w:val="40"/>
          <w:szCs w:val="24"/>
          <w:lang w:val="sr-Latn-CS"/>
        </w:rPr>
        <w:t xml:space="preserve"> </w:t>
      </w:r>
      <w:r w:rsidRPr="00647DD1">
        <w:rPr>
          <w:spacing w:val="40"/>
          <w:szCs w:val="24"/>
          <w:lang w:val="sr-Cyrl-CS"/>
        </w:rPr>
        <w:t>Д</w:t>
      </w:r>
      <w:r w:rsidRPr="00647DD1">
        <w:rPr>
          <w:spacing w:val="40"/>
          <w:szCs w:val="24"/>
          <w:lang w:val="sr-Latn-CS"/>
        </w:rPr>
        <w:t xml:space="preserve"> </w:t>
      </w:r>
      <w:r w:rsidRPr="00647DD1">
        <w:rPr>
          <w:spacing w:val="40"/>
          <w:szCs w:val="24"/>
          <w:lang w:val="sr-Cyrl-CS"/>
        </w:rPr>
        <w:t>А</w:t>
      </w:r>
    </w:p>
    <w:p w:rsidR="00C1130A" w:rsidRPr="00C1130A" w:rsidRDefault="00C1130A" w:rsidP="00C1130A">
      <w:pPr>
        <w:pStyle w:val="1tekst"/>
        <w:jc w:val="center"/>
        <w:rPr>
          <w:spacing w:val="40"/>
          <w:szCs w:val="24"/>
          <w:lang w:val="sr-Cyrl-CS"/>
        </w:rPr>
      </w:pPr>
      <w:bookmarkStart w:id="0" w:name="_GoBack"/>
      <w:bookmarkEnd w:id="0"/>
    </w:p>
    <w:tbl>
      <w:tblPr>
        <w:tblW w:w="0" w:type="dxa"/>
        <w:tblLayout w:type="fixed"/>
        <w:tblLook w:val="04A0" w:firstRow="1" w:lastRow="0" w:firstColumn="1" w:lastColumn="0" w:noHBand="0" w:noVBand="1"/>
      </w:tblPr>
      <w:tblGrid>
        <w:gridCol w:w="4360"/>
        <w:gridCol w:w="4360"/>
      </w:tblGrid>
      <w:tr w:rsidR="00C1130A" w:rsidRPr="00C1130A" w:rsidTr="00585021">
        <w:tc>
          <w:tcPr>
            <w:tcW w:w="4360" w:type="dxa"/>
          </w:tcPr>
          <w:p w:rsidR="00C1130A" w:rsidRPr="00C1130A" w:rsidRDefault="00C1130A" w:rsidP="00C1130A">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Тачност преписа оверава</w:t>
            </w:r>
          </w:p>
          <w:p w:rsidR="00C1130A" w:rsidRPr="00C1130A" w:rsidRDefault="00C1130A" w:rsidP="00C1130A">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ГЕНЕРАЛН</w:t>
            </w:r>
            <w:r w:rsidRPr="00C1130A">
              <w:rPr>
                <w:rFonts w:ascii="Times New Roman" w:hAnsi="Times New Roman" w:cs="Times New Roman"/>
                <w:sz w:val="24"/>
                <w:szCs w:val="24"/>
                <w:lang w:val="sr-Cyrl-CS"/>
              </w:rPr>
              <w:t>И</w:t>
            </w:r>
            <w:r w:rsidRPr="00C1130A">
              <w:rPr>
                <w:rFonts w:ascii="Times New Roman" w:hAnsi="Times New Roman" w:cs="Times New Roman"/>
                <w:sz w:val="24"/>
                <w:szCs w:val="24"/>
                <w:lang w:val="ru-RU"/>
              </w:rPr>
              <w:t xml:space="preserve"> СЕКРЕТАР</w:t>
            </w:r>
          </w:p>
          <w:p w:rsidR="00C1130A" w:rsidRPr="00C1130A" w:rsidRDefault="00C1130A" w:rsidP="00C1130A">
            <w:pPr>
              <w:spacing w:line="240" w:lineRule="auto"/>
              <w:jc w:val="center"/>
              <w:rPr>
                <w:rFonts w:ascii="Times New Roman" w:hAnsi="Times New Roman" w:cs="Times New Roman"/>
                <w:sz w:val="24"/>
                <w:szCs w:val="24"/>
                <w:lang w:val="ru-RU"/>
              </w:rPr>
            </w:pPr>
          </w:p>
          <w:p w:rsidR="00C1130A" w:rsidRPr="00C1130A" w:rsidRDefault="00C1130A" w:rsidP="00C1130A">
            <w:pPr>
              <w:spacing w:line="240" w:lineRule="auto"/>
              <w:jc w:val="center"/>
              <w:rPr>
                <w:rFonts w:ascii="Times New Roman" w:hAnsi="Times New Roman" w:cs="Times New Roman"/>
                <w:sz w:val="24"/>
                <w:szCs w:val="24"/>
                <w:lang w:val="ru-RU"/>
              </w:rPr>
            </w:pPr>
          </w:p>
          <w:p w:rsidR="00C1130A" w:rsidRPr="00C1130A" w:rsidRDefault="00C1130A" w:rsidP="00C1130A">
            <w:pPr>
              <w:spacing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Новак Недић</w:t>
            </w:r>
          </w:p>
        </w:tc>
        <w:tc>
          <w:tcPr>
            <w:tcW w:w="4360" w:type="dxa"/>
          </w:tcPr>
          <w:p w:rsidR="00C1130A" w:rsidRDefault="00C1130A" w:rsidP="00C1130A">
            <w:pPr>
              <w:spacing w:after="0" w:line="240" w:lineRule="auto"/>
              <w:jc w:val="center"/>
              <w:rPr>
                <w:rFonts w:ascii="Times New Roman" w:hAnsi="Times New Roman" w:cs="Times New Roman"/>
                <w:sz w:val="24"/>
                <w:szCs w:val="24"/>
                <w:lang w:val="ru-RU"/>
              </w:rPr>
            </w:pPr>
          </w:p>
          <w:p w:rsidR="00C1130A" w:rsidRPr="00C1130A" w:rsidRDefault="00C1130A" w:rsidP="00C1130A">
            <w:pPr>
              <w:spacing w:after="0"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ПРЕДСЕДНИК РЕПУБЛИКЕ</w:t>
            </w:r>
          </w:p>
          <w:p w:rsidR="00C1130A" w:rsidRDefault="00C1130A" w:rsidP="00C1130A">
            <w:pPr>
              <w:spacing w:line="240" w:lineRule="auto"/>
              <w:jc w:val="center"/>
              <w:rPr>
                <w:rFonts w:ascii="Times New Roman" w:hAnsi="Times New Roman" w:cs="Times New Roman"/>
                <w:sz w:val="24"/>
                <w:szCs w:val="24"/>
                <w:lang w:val="sr-Cyrl-CS"/>
              </w:rPr>
            </w:pPr>
          </w:p>
          <w:p w:rsidR="00C1130A" w:rsidRPr="00C1130A" w:rsidRDefault="00C1130A" w:rsidP="00C1130A">
            <w:pPr>
              <w:spacing w:line="240" w:lineRule="auto"/>
              <w:jc w:val="center"/>
              <w:rPr>
                <w:rFonts w:ascii="Times New Roman" w:hAnsi="Times New Roman" w:cs="Times New Roman"/>
                <w:sz w:val="24"/>
                <w:szCs w:val="24"/>
                <w:lang w:val="sr-Cyrl-CS"/>
              </w:rPr>
            </w:pPr>
          </w:p>
          <w:p w:rsidR="00C1130A" w:rsidRPr="00C1130A" w:rsidRDefault="00C1130A" w:rsidP="00C1130A">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Александар Вучић, с.р.</w:t>
            </w:r>
          </w:p>
          <w:p w:rsidR="00C1130A" w:rsidRPr="00C1130A" w:rsidRDefault="00C1130A" w:rsidP="00C1130A">
            <w:pPr>
              <w:pStyle w:val="Footer"/>
              <w:jc w:val="center"/>
              <w:rPr>
                <w:rFonts w:ascii="Times New Roman" w:hAnsi="Times New Roman" w:cs="Times New Roman"/>
                <w:sz w:val="24"/>
                <w:szCs w:val="24"/>
                <w:lang w:val="ru-RU"/>
              </w:rPr>
            </w:pPr>
          </w:p>
        </w:tc>
      </w:tr>
      <w:tr w:rsidR="00C1130A" w:rsidRPr="00C1130A" w:rsidTr="00585021">
        <w:tc>
          <w:tcPr>
            <w:tcW w:w="4360" w:type="dxa"/>
          </w:tcPr>
          <w:p w:rsidR="00C1130A" w:rsidRPr="00C1130A" w:rsidRDefault="00C1130A" w:rsidP="00C1130A">
            <w:pPr>
              <w:pStyle w:val="Footer"/>
              <w:jc w:val="center"/>
              <w:rPr>
                <w:rFonts w:ascii="Times New Roman" w:hAnsi="Times New Roman" w:cs="Times New Roman"/>
                <w:sz w:val="24"/>
                <w:szCs w:val="24"/>
                <w:lang w:val="ru-RU"/>
              </w:rPr>
            </w:pPr>
          </w:p>
          <w:p w:rsidR="00C1130A" w:rsidRPr="00C1130A" w:rsidRDefault="00C1130A" w:rsidP="00C1130A">
            <w:pPr>
              <w:spacing w:line="240" w:lineRule="auto"/>
              <w:jc w:val="center"/>
              <w:rPr>
                <w:rFonts w:ascii="Times New Roman" w:hAnsi="Times New Roman" w:cs="Times New Roman"/>
                <w:sz w:val="24"/>
                <w:szCs w:val="24"/>
                <w:lang w:val="ru-RU"/>
              </w:rPr>
            </w:pPr>
          </w:p>
        </w:tc>
        <w:tc>
          <w:tcPr>
            <w:tcW w:w="4360" w:type="dxa"/>
          </w:tcPr>
          <w:p w:rsidR="00C1130A" w:rsidRPr="00C1130A" w:rsidRDefault="00C1130A" w:rsidP="00C1130A">
            <w:pPr>
              <w:spacing w:line="240" w:lineRule="auto"/>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ПРЕДСЕДНИК ВЛАДЕ</w:t>
            </w:r>
          </w:p>
          <w:p w:rsidR="00C1130A" w:rsidRPr="00C1130A" w:rsidRDefault="00C1130A" w:rsidP="00C1130A">
            <w:pPr>
              <w:spacing w:line="240" w:lineRule="auto"/>
              <w:jc w:val="center"/>
              <w:rPr>
                <w:rFonts w:ascii="Times New Roman" w:hAnsi="Times New Roman" w:cs="Times New Roman"/>
                <w:sz w:val="24"/>
                <w:szCs w:val="24"/>
                <w:lang w:val="sr-Cyrl-CS"/>
              </w:rPr>
            </w:pPr>
          </w:p>
          <w:p w:rsidR="00C1130A" w:rsidRPr="00C1130A" w:rsidRDefault="00C1130A" w:rsidP="00C1130A">
            <w:pPr>
              <w:pStyle w:val="Footer"/>
              <w:jc w:val="center"/>
              <w:rPr>
                <w:rFonts w:ascii="Times New Roman" w:hAnsi="Times New Roman" w:cs="Times New Roman"/>
                <w:sz w:val="24"/>
                <w:szCs w:val="24"/>
                <w:lang w:val="ru-RU"/>
              </w:rPr>
            </w:pPr>
            <w:r w:rsidRPr="00C1130A">
              <w:rPr>
                <w:rFonts w:ascii="Times New Roman" w:hAnsi="Times New Roman" w:cs="Times New Roman"/>
                <w:sz w:val="24"/>
                <w:szCs w:val="24"/>
                <w:lang w:val="ru-RU"/>
              </w:rPr>
              <w:t>Ана Брнабић, с.р.</w:t>
            </w:r>
          </w:p>
        </w:tc>
      </w:tr>
    </w:tbl>
    <w:p w:rsidR="00C1130A" w:rsidRPr="00C1130A" w:rsidRDefault="00C1130A" w:rsidP="00C1130A">
      <w:pPr>
        <w:spacing w:line="240" w:lineRule="auto"/>
        <w:jc w:val="center"/>
        <w:rPr>
          <w:rFonts w:ascii="Times New Roman" w:hAnsi="Times New Roman" w:cs="Times New Roman"/>
          <w:color w:val="000000"/>
          <w:sz w:val="24"/>
          <w:szCs w:val="24"/>
          <w:lang w:val="sr-Cyrl-CS"/>
        </w:rPr>
      </w:pPr>
    </w:p>
    <w:p w:rsidR="00C1130A" w:rsidRPr="00C1130A" w:rsidRDefault="00C1130A" w:rsidP="00C1130A">
      <w:pPr>
        <w:rPr>
          <w:rFonts w:ascii="Times New Roman" w:hAnsi="Times New Roman" w:cs="Times New Roman"/>
          <w:color w:val="000000"/>
          <w:sz w:val="24"/>
          <w:szCs w:val="24"/>
          <w:lang w:val="sr-Cyrl-CS"/>
        </w:rPr>
      </w:pPr>
    </w:p>
    <w:p w:rsidR="00C1130A" w:rsidRDefault="00C1130A" w:rsidP="00C1130A">
      <w:pPr>
        <w:rPr>
          <w:color w:val="000000"/>
          <w:lang w:val="sr-Cyrl-CS"/>
        </w:rPr>
      </w:pPr>
    </w:p>
    <w:p w:rsidR="00280C7B" w:rsidRDefault="00280C7B">
      <w:pPr>
        <w:pStyle w:val="ListParagraph"/>
        <w:spacing w:after="0" w:line="240" w:lineRule="auto"/>
        <w:ind w:left="218"/>
        <w:jc w:val="both"/>
        <w:rPr>
          <w:rFonts w:ascii="Times New Roman" w:hAnsi="Times New Roman" w:cs="Times New Roman"/>
          <w:color w:val="000000"/>
          <w:sz w:val="24"/>
          <w:szCs w:val="24"/>
        </w:rPr>
      </w:pPr>
    </w:p>
    <w:sectPr w:rsidR="00280C7B" w:rsidSect="005C5827">
      <w:footerReference w:type="default" r:id="rId9"/>
      <w:pgSz w:w="12240" w:h="15840"/>
      <w:pgMar w:top="1134" w:right="1440" w:bottom="1134" w:left="1440"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DCA" w:rsidRDefault="00C47DCA">
      <w:pPr>
        <w:spacing w:after="0" w:line="240" w:lineRule="auto"/>
      </w:pPr>
      <w:r>
        <w:separator/>
      </w:r>
    </w:p>
  </w:endnote>
  <w:endnote w:type="continuationSeparator" w:id="0">
    <w:p w:rsidR="00C47DCA" w:rsidRDefault="00C47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046702"/>
      <w:docPartObj>
        <w:docPartGallery w:val="Page Numbers (Bottom of Page)"/>
        <w:docPartUnique/>
      </w:docPartObj>
    </w:sdtPr>
    <w:sdtEndPr>
      <w:rPr>
        <w:noProof/>
      </w:rPr>
    </w:sdtEndPr>
    <w:sdtContent>
      <w:p w:rsidR="005C5827" w:rsidRDefault="005C5827">
        <w:pPr>
          <w:pStyle w:val="Footer"/>
          <w:jc w:val="right"/>
        </w:pPr>
        <w:r>
          <w:fldChar w:fldCharType="begin"/>
        </w:r>
        <w:r>
          <w:instrText xml:space="preserve"> PAGE   \* MERGEFORMAT </w:instrText>
        </w:r>
        <w:r>
          <w:fldChar w:fldCharType="separate"/>
        </w:r>
        <w:r w:rsidR="00C1130A">
          <w:rPr>
            <w:noProof/>
          </w:rPr>
          <w:t>2</w:t>
        </w:r>
        <w:r>
          <w:rPr>
            <w:noProof/>
          </w:rPr>
          <w:fldChar w:fldCharType="end"/>
        </w:r>
      </w:p>
    </w:sdtContent>
  </w:sdt>
  <w:p w:rsidR="00280C7B" w:rsidRDefault="00280C7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DCA" w:rsidRDefault="00C47DCA">
      <w:pPr>
        <w:spacing w:after="0" w:line="240" w:lineRule="auto"/>
      </w:pPr>
      <w:r>
        <w:separator/>
      </w:r>
    </w:p>
  </w:footnote>
  <w:footnote w:type="continuationSeparator" w:id="0">
    <w:p w:rsidR="00C47DCA" w:rsidRDefault="00C47D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C4BDA"/>
    <w:multiLevelType w:val="multilevel"/>
    <w:tmpl w:val="6482598C"/>
    <w:lvl w:ilvl="0">
      <w:start w:val="1"/>
      <w:numFmt w:val="decimal"/>
      <w:lvlText w:val="%1)"/>
      <w:lvlJc w:val="left"/>
      <w:pPr>
        <w:tabs>
          <w:tab w:val="num" w:pos="720"/>
        </w:tabs>
        <w:ind w:left="720" w:hanging="360"/>
      </w:pPr>
      <w:rPr>
        <w:rFonts w:ascii="Times New Roman" w:hAnsi="Times New Roman"/>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1" w15:restartNumberingAfterBreak="0">
    <w:nsid w:val="5CE16D82"/>
    <w:multiLevelType w:val="multilevel"/>
    <w:tmpl w:val="E7A2D1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C7B"/>
    <w:rsid w:val="001C78D7"/>
    <w:rsid w:val="00280C7B"/>
    <w:rsid w:val="005C5827"/>
    <w:rsid w:val="005D1972"/>
    <w:rsid w:val="007618BF"/>
    <w:rsid w:val="0088379D"/>
    <w:rsid w:val="0090009E"/>
    <w:rsid w:val="00AA48B7"/>
    <w:rsid w:val="00C1130A"/>
    <w:rsid w:val="00C47DC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FBD0"/>
  <w15:docId w15:val="{6DCE06ED-D5A0-40BF-B33B-577445A76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Calibri" w:eastAsia="Calibri" w:hAnsi="Calibri"/>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BD32AF"/>
    <w:rPr>
      <w:rFonts w:ascii="Times New Roman" w:eastAsia="MS Mincho" w:hAnsi="Times New Roman" w:cs="Times New Roman"/>
      <w:sz w:val="24"/>
      <w:szCs w:val="24"/>
    </w:rPr>
  </w:style>
  <w:style w:type="character" w:customStyle="1" w:styleId="BalloonTextChar">
    <w:name w:val="Balloon Text Char"/>
    <w:basedOn w:val="DefaultParagraphFont"/>
    <w:link w:val="BalloonText"/>
    <w:uiPriority w:val="99"/>
    <w:semiHidden/>
    <w:qFormat/>
    <w:rsid w:val="00DA5622"/>
    <w:rPr>
      <w:rFonts w:ascii="Segoe UI" w:hAnsi="Segoe UI" w:cs="Segoe UI"/>
      <w:sz w:val="18"/>
      <w:szCs w:val="18"/>
    </w:rPr>
  </w:style>
  <w:style w:type="character" w:customStyle="1" w:styleId="ListLabel1">
    <w:name w:val="ListLabel 1"/>
    <w:qFormat/>
    <w:rPr>
      <w:rFonts w:eastAsia="Times New Roman"/>
    </w:rPr>
  </w:style>
  <w:style w:type="character" w:customStyle="1" w:styleId="InternetLink">
    <w:name w:val="Internet Link"/>
    <w:rPr>
      <w:color w:val="000080"/>
      <w:u w:val="single"/>
    </w:rPr>
  </w:style>
  <w:style w:type="character" w:customStyle="1" w:styleId="NumberingSymbols">
    <w:name w:val="Numbering Symbols"/>
    <w:qFormat/>
    <w:rPr>
      <w:rFonts w:ascii="Times New Roman" w:hAnsi="Times New Roman"/>
      <w:sz w:val="24"/>
      <w:szCs w:val="24"/>
    </w:rPr>
  </w:style>
  <w:style w:type="character" w:customStyle="1" w:styleId="ListLabel2">
    <w:name w:val="ListLabel 2"/>
    <w:qFormat/>
    <w:rPr>
      <w:rFonts w:ascii="Times New Roman" w:hAnsi="Times New Roman"/>
      <w:sz w:val="24"/>
      <w:szCs w:val="24"/>
    </w:rPr>
  </w:style>
  <w:style w:type="character" w:customStyle="1" w:styleId="ListLabel3">
    <w:name w:val="ListLabel 3"/>
    <w:qFormat/>
    <w:rPr>
      <w:sz w:val="24"/>
      <w:szCs w:val="24"/>
    </w:rPr>
  </w:style>
  <w:style w:type="character" w:customStyle="1" w:styleId="ListLabel4">
    <w:name w:val="ListLabel 4"/>
    <w:qFormat/>
    <w:rPr>
      <w:sz w:val="24"/>
      <w:szCs w:val="24"/>
    </w:rPr>
  </w:style>
  <w:style w:type="character" w:customStyle="1" w:styleId="ListLabel5">
    <w:name w:val="ListLabel 5"/>
    <w:qFormat/>
    <w:rPr>
      <w:sz w:val="24"/>
      <w:szCs w:val="24"/>
    </w:rPr>
  </w:style>
  <w:style w:type="character" w:customStyle="1" w:styleId="ListLabel6">
    <w:name w:val="ListLabel 6"/>
    <w:qFormat/>
    <w:rPr>
      <w:sz w:val="24"/>
      <w:szCs w:val="24"/>
    </w:rPr>
  </w:style>
  <w:style w:type="character" w:customStyle="1" w:styleId="ListLabel7">
    <w:name w:val="ListLabel 7"/>
    <w:qFormat/>
    <w:rPr>
      <w:sz w:val="24"/>
      <w:szCs w:val="24"/>
    </w:rPr>
  </w:style>
  <w:style w:type="character" w:customStyle="1" w:styleId="ListLabel8">
    <w:name w:val="ListLabel 8"/>
    <w:qFormat/>
    <w:rPr>
      <w:sz w:val="24"/>
      <w:szCs w:val="24"/>
    </w:rPr>
  </w:style>
  <w:style w:type="character" w:customStyle="1" w:styleId="ListLabel9">
    <w:name w:val="ListLabel 9"/>
    <w:qFormat/>
    <w:rPr>
      <w:sz w:val="24"/>
      <w:szCs w:val="24"/>
    </w:rPr>
  </w:style>
  <w:style w:type="character" w:customStyle="1" w:styleId="ListLabel10">
    <w:name w:val="ListLabel 10"/>
    <w:qFormat/>
    <w:rPr>
      <w:sz w:val="24"/>
      <w:szCs w:val="24"/>
    </w:rPr>
  </w:style>
  <w:style w:type="character" w:customStyle="1" w:styleId="ListLabel11">
    <w:name w:val="ListLabel 11"/>
    <w:qFormat/>
    <w:rPr>
      <w:rFonts w:ascii="Times New Roman" w:hAnsi="Times New Roman"/>
      <w:sz w:val="24"/>
      <w:szCs w:val="24"/>
    </w:rPr>
  </w:style>
  <w:style w:type="character" w:customStyle="1" w:styleId="ListLabel12">
    <w:name w:val="ListLabel 12"/>
    <w:qFormat/>
    <w:rPr>
      <w:sz w:val="24"/>
      <w:szCs w:val="24"/>
    </w:rPr>
  </w:style>
  <w:style w:type="character" w:customStyle="1" w:styleId="ListLabel13">
    <w:name w:val="ListLabel 13"/>
    <w:qFormat/>
    <w:rPr>
      <w:sz w:val="24"/>
      <w:szCs w:val="24"/>
    </w:rPr>
  </w:style>
  <w:style w:type="character" w:customStyle="1" w:styleId="ListLabel14">
    <w:name w:val="ListLabel 14"/>
    <w:qFormat/>
    <w:rPr>
      <w:sz w:val="24"/>
      <w:szCs w:val="24"/>
    </w:rPr>
  </w:style>
  <w:style w:type="character" w:customStyle="1" w:styleId="ListLabel15">
    <w:name w:val="ListLabel 15"/>
    <w:qFormat/>
    <w:rPr>
      <w:sz w:val="24"/>
      <w:szCs w:val="24"/>
    </w:rPr>
  </w:style>
  <w:style w:type="character" w:customStyle="1" w:styleId="ListLabel16">
    <w:name w:val="ListLabel 16"/>
    <w:qFormat/>
    <w:rPr>
      <w:sz w:val="24"/>
      <w:szCs w:val="24"/>
    </w:rPr>
  </w:style>
  <w:style w:type="character" w:customStyle="1" w:styleId="ListLabel17">
    <w:name w:val="ListLabel 17"/>
    <w:qFormat/>
    <w:rPr>
      <w:sz w:val="24"/>
      <w:szCs w:val="24"/>
    </w:rPr>
  </w:style>
  <w:style w:type="character" w:customStyle="1" w:styleId="ListLabel18">
    <w:name w:val="ListLabel 18"/>
    <w:qFormat/>
    <w:rPr>
      <w:sz w:val="24"/>
      <w:szCs w:val="24"/>
    </w:rPr>
  </w:style>
  <w:style w:type="character" w:customStyle="1" w:styleId="ListLabel19">
    <w:name w:val="ListLabel 19"/>
    <w:qFormat/>
    <w:rPr>
      <w:sz w:val="24"/>
      <w:szCs w:val="24"/>
    </w:rPr>
  </w:style>
  <w:style w:type="character" w:customStyle="1" w:styleId="CommentTextChar">
    <w:name w:val="Comment Text Char"/>
    <w:basedOn w:val="DefaultParagraphFont"/>
    <w:link w:val="CommentText"/>
    <w:uiPriority w:val="99"/>
    <w:semiHidden/>
    <w:qFormat/>
    <w:rPr>
      <w:color w:val="00000A"/>
      <w:szCs w:val="20"/>
    </w:rPr>
  </w:style>
  <w:style w:type="character" w:styleId="CommentReference">
    <w:name w:val="annotation reference"/>
    <w:basedOn w:val="DefaultParagraphFont"/>
    <w:uiPriority w:val="99"/>
    <w:semiHidden/>
    <w:unhideWhenUsed/>
    <w:qFormat/>
    <w:rPr>
      <w:sz w:val="16"/>
      <w:szCs w:val="16"/>
    </w:rPr>
  </w:style>
  <w:style w:type="character" w:customStyle="1" w:styleId="ListLabel20">
    <w:name w:val="ListLabel 20"/>
    <w:qFormat/>
    <w:rPr>
      <w:rFonts w:ascii="Times New Roman" w:hAnsi="Times New Roman"/>
      <w:sz w:val="24"/>
      <w:szCs w:val="24"/>
    </w:rPr>
  </w:style>
  <w:style w:type="character" w:customStyle="1" w:styleId="ListLabel21">
    <w:name w:val="ListLabel 21"/>
    <w:qFormat/>
    <w:rPr>
      <w:sz w:val="24"/>
      <w:szCs w:val="24"/>
    </w:rPr>
  </w:style>
  <w:style w:type="character" w:customStyle="1" w:styleId="ListLabel22">
    <w:name w:val="ListLabel 22"/>
    <w:qFormat/>
    <w:rPr>
      <w:sz w:val="24"/>
      <w:szCs w:val="24"/>
    </w:rPr>
  </w:style>
  <w:style w:type="character" w:customStyle="1" w:styleId="ListLabel23">
    <w:name w:val="ListLabel 23"/>
    <w:qFormat/>
    <w:rPr>
      <w:sz w:val="24"/>
      <w:szCs w:val="24"/>
    </w:rPr>
  </w:style>
  <w:style w:type="character" w:customStyle="1" w:styleId="ListLabel24">
    <w:name w:val="ListLabel 24"/>
    <w:qFormat/>
    <w:rPr>
      <w:sz w:val="24"/>
      <w:szCs w:val="24"/>
    </w:rPr>
  </w:style>
  <w:style w:type="character" w:customStyle="1" w:styleId="ListLabel25">
    <w:name w:val="ListLabel 25"/>
    <w:qFormat/>
    <w:rPr>
      <w:sz w:val="24"/>
      <w:szCs w:val="24"/>
    </w:rPr>
  </w:style>
  <w:style w:type="character" w:customStyle="1" w:styleId="ListLabel26">
    <w:name w:val="ListLabel 26"/>
    <w:qFormat/>
    <w:rPr>
      <w:sz w:val="24"/>
      <w:szCs w:val="24"/>
    </w:rPr>
  </w:style>
  <w:style w:type="character" w:customStyle="1" w:styleId="ListLabel27">
    <w:name w:val="ListLabel 27"/>
    <w:qFormat/>
    <w:rPr>
      <w:sz w:val="24"/>
      <w:szCs w:val="24"/>
    </w:rPr>
  </w:style>
  <w:style w:type="character" w:customStyle="1" w:styleId="ListLabel28">
    <w:name w:val="ListLabel 28"/>
    <w:qFormat/>
    <w:rPr>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8B5260"/>
    <w:rPr>
      <w:rFonts w:ascii="Calibri" w:eastAsia="Calibri" w:hAnsi="Calibri"/>
      <w:color w:val="00000A"/>
      <w:sz w:val="22"/>
    </w:rPr>
  </w:style>
  <w:style w:type="character" w:customStyle="1" w:styleId="ListLabel29">
    <w:name w:val="ListLabel 29"/>
    <w:qFormat/>
    <w:rPr>
      <w:rFonts w:ascii="Times New Roman" w:hAnsi="Times New Roman"/>
      <w:sz w:val="24"/>
      <w:szCs w:val="24"/>
    </w:rPr>
  </w:style>
  <w:style w:type="character" w:customStyle="1" w:styleId="ListLabel30">
    <w:name w:val="ListLabel 30"/>
    <w:qFormat/>
    <w:rPr>
      <w:sz w:val="24"/>
      <w:szCs w:val="24"/>
    </w:rPr>
  </w:style>
  <w:style w:type="character" w:customStyle="1" w:styleId="ListLabel31">
    <w:name w:val="ListLabel 31"/>
    <w:qFormat/>
    <w:rPr>
      <w:sz w:val="24"/>
      <w:szCs w:val="24"/>
    </w:rPr>
  </w:style>
  <w:style w:type="character" w:customStyle="1" w:styleId="ListLabel32">
    <w:name w:val="ListLabel 32"/>
    <w:qFormat/>
    <w:rPr>
      <w:sz w:val="24"/>
      <w:szCs w:val="24"/>
    </w:rPr>
  </w:style>
  <w:style w:type="character" w:customStyle="1" w:styleId="ListLabel33">
    <w:name w:val="ListLabel 33"/>
    <w:qFormat/>
    <w:rPr>
      <w:sz w:val="24"/>
      <w:szCs w:val="24"/>
    </w:rPr>
  </w:style>
  <w:style w:type="character" w:customStyle="1" w:styleId="ListLabel34">
    <w:name w:val="ListLabel 34"/>
    <w:qFormat/>
    <w:rPr>
      <w:sz w:val="24"/>
      <w:szCs w:val="24"/>
    </w:rPr>
  </w:style>
  <w:style w:type="character" w:customStyle="1" w:styleId="ListLabel35">
    <w:name w:val="ListLabel 35"/>
    <w:qFormat/>
    <w:rPr>
      <w:sz w:val="24"/>
      <w:szCs w:val="24"/>
    </w:rPr>
  </w:style>
  <w:style w:type="character" w:customStyle="1" w:styleId="ListLabel36">
    <w:name w:val="ListLabel 36"/>
    <w:qFormat/>
    <w:rPr>
      <w:sz w:val="24"/>
      <w:szCs w:val="24"/>
    </w:rPr>
  </w:style>
  <w:style w:type="character" w:customStyle="1" w:styleId="ListLabel37">
    <w:name w:val="ListLabel 37"/>
    <w:qFormat/>
    <w:rPr>
      <w:sz w:val="24"/>
      <w:szCs w:val="24"/>
    </w:rPr>
  </w:style>
  <w:style w:type="character" w:customStyle="1" w:styleId="ListLabel38">
    <w:name w:val="ListLabel 38"/>
    <w:qFormat/>
    <w:rPr>
      <w:rFonts w:ascii="Times New Roman" w:hAnsi="Times New Roman"/>
      <w:sz w:val="24"/>
      <w:szCs w:val="24"/>
    </w:rPr>
  </w:style>
  <w:style w:type="character" w:customStyle="1" w:styleId="ListLabel39">
    <w:name w:val="ListLabel 39"/>
    <w:qFormat/>
    <w:rPr>
      <w:sz w:val="24"/>
      <w:szCs w:val="24"/>
    </w:rPr>
  </w:style>
  <w:style w:type="character" w:customStyle="1" w:styleId="ListLabel40">
    <w:name w:val="ListLabel 40"/>
    <w:qFormat/>
    <w:rPr>
      <w:sz w:val="24"/>
      <w:szCs w:val="24"/>
    </w:rPr>
  </w:style>
  <w:style w:type="character" w:customStyle="1" w:styleId="ListLabel41">
    <w:name w:val="ListLabel 41"/>
    <w:qFormat/>
    <w:rPr>
      <w:sz w:val="24"/>
      <w:szCs w:val="24"/>
    </w:rPr>
  </w:style>
  <w:style w:type="character" w:customStyle="1" w:styleId="ListLabel42">
    <w:name w:val="ListLabel 42"/>
    <w:qFormat/>
    <w:rPr>
      <w:sz w:val="24"/>
      <w:szCs w:val="24"/>
    </w:rPr>
  </w:style>
  <w:style w:type="character" w:customStyle="1" w:styleId="ListLabel43">
    <w:name w:val="ListLabel 43"/>
    <w:qFormat/>
    <w:rPr>
      <w:sz w:val="24"/>
      <w:szCs w:val="24"/>
    </w:rPr>
  </w:style>
  <w:style w:type="character" w:customStyle="1" w:styleId="ListLabel44">
    <w:name w:val="ListLabel 44"/>
    <w:qFormat/>
    <w:rPr>
      <w:sz w:val="24"/>
      <w:szCs w:val="24"/>
    </w:rPr>
  </w:style>
  <w:style w:type="character" w:customStyle="1" w:styleId="ListLabel45">
    <w:name w:val="ListLabel 45"/>
    <w:qFormat/>
    <w:rPr>
      <w:sz w:val="24"/>
      <w:szCs w:val="24"/>
    </w:rPr>
  </w:style>
  <w:style w:type="character" w:customStyle="1" w:styleId="ListLabel46">
    <w:name w:val="ListLabel 46"/>
    <w:qFormat/>
    <w:rPr>
      <w:sz w:val="24"/>
      <w:szCs w:val="24"/>
    </w:rPr>
  </w:style>
  <w:style w:type="character" w:customStyle="1" w:styleId="ListLabel47">
    <w:name w:val="ListLabel 47"/>
    <w:qFormat/>
    <w:rPr>
      <w:rFonts w:ascii="Times New Roman" w:hAnsi="Times New Roman"/>
      <w:sz w:val="24"/>
      <w:szCs w:val="24"/>
    </w:rPr>
  </w:style>
  <w:style w:type="character" w:customStyle="1" w:styleId="ListLabel48">
    <w:name w:val="ListLabel 48"/>
    <w:qFormat/>
    <w:rPr>
      <w:sz w:val="24"/>
      <w:szCs w:val="24"/>
    </w:rPr>
  </w:style>
  <w:style w:type="character" w:customStyle="1" w:styleId="ListLabel49">
    <w:name w:val="ListLabel 49"/>
    <w:qFormat/>
    <w:rPr>
      <w:sz w:val="24"/>
      <w:szCs w:val="24"/>
    </w:rPr>
  </w:style>
  <w:style w:type="character" w:customStyle="1" w:styleId="ListLabel50">
    <w:name w:val="ListLabel 50"/>
    <w:qFormat/>
    <w:rPr>
      <w:sz w:val="24"/>
      <w:szCs w:val="24"/>
    </w:rPr>
  </w:style>
  <w:style w:type="character" w:customStyle="1" w:styleId="ListLabel51">
    <w:name w:val="ListLabel 51"/>
    <w:qFormat/>
    <w:rPr>
      <w:sz w:val="24"/>
      <w:szCs w:val="24"/>
    </w:rPr>
  </w:style>
  <w:style w:type="character" w:customStyle="1" w:styleId="ListLabel52">
    <w:name w:val="ListLabel 52"/>
    <w:qFormat/>
    <w:rPr>
      <w:sz w:val="24"/>
      <w:szCs w:val="24"/>
    </w:rPr>
  </w:style>
  <w:style w:type="character" w:customStyle="1" w:styleId="ListLabel53">
    <w:name w:val="ListLabel 53"/>
    <w:qFormat/>
    <w:rPr>
      <w:sz w:val="24"/>
      <w:szCs w:val="24"/>
    </w:rPr>
  </w:style>
  <w:style w:type="character" w:customStyle="1" w:styleId="ListLabel54">
    <w:name w:val="ListLabel 54"/>
    <w:qFormat/>
    <w:rPr>
      <w:sz w:val="24"/>
      <w:szCs w:val="24"/>
    </w:rPr>
  </w:style>
  <w:style w:type="character" w:customStyle="1" w:styleId="ListLabel55">
    <w:name w:val="ListLabel 55"/>
    <w:qFormat/>
    <w:rPr>
      <w:sz w:val="24"/>
      <w:szCs w:val="24"/>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B154C3"/>
    <w:pPr>
      <w:ind w:left="720"/>
      <w:contextualSpacing/>
    </w:pPr>
  </w:style>
  <w:style w:type="paragraph" w:styleId="Header">
    <w:name w:val="header"/>
    <w:basedOn w:val="Normal"/>
    <w:link w:val="HeaderChar"/>
    <w:rsid w:val="00BD32AF"/>
    <w:pPr>
      <w:tabs>
        <w:tab w:val="center" w:pos="4320"/>
        <w:tab w:val="right" w:pos="8640"/>
      </w:tabs>
      <w:spacing w:after="0" w:line="240" w:lineRule="auto"/>
    </w:pPr>
    <w:rPr>
      <w:rFonts w:ascii="Times New Roman" w:eastAsia="MS Mincho" w:hAnsi="Times New Roman" w:cs="Times New Roman"/>
      <w:sz w:val="24"/>
      <w:szCs w:val="24"/>
    </w:rPr>
  </w:style>
  <w:style w:type="paragraph" w:customStyle="1" w:styleId="Char">
    <w:name w:val="Char"/>
    <w:basedOn w:val="Normal"/>
    <w:qFormat/>
    <w:rsid w:val="00BD32AF"/>
    <w:pPr>
      <w:tabs>
        <w:tab w:val="left" w:pos="709"/>
      </w:tabs>
      <w:spacing w:after="0" w:line="240" w:lineRule="auto"/>
    </w:pPr>
    <w:rPr>
      <w:rFonts w:ascii="Arial Narrow" w:eastAsia="Times New Roman" w:hAnsi="Arial Narrow" w:cs="Times New Roman"/>
      <w:b/>
      <w:sz w:val="26"/>
      <w:szCs w:val="24"/>
      <w:lang w:val="pl-PL" w:eastAsia="pl-PL"/>
    </w:rPr>
  </w:style>
  <w:style w:type="paragraph" w:styleId="BalloonText">
    <w:name w:val="Balloon Text"/>
    <w:basedOn w:val="Normal"/>
    <w:link w:val="BalloonTextChar"/>
    <w:uiPriority w:val="99"/>
    <w:semiHidden/>
    <w:unhideWhenUsed/>
    <w:qFormat/>
    <w:rsid w:val="00DA5622"/>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Footer">
    <w:name w:val="footer"/>
    <w:aliases w:val="Char Char Char Char,Char Char 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8B5260"/>
    <w:pPr>
      <w:tabs>
        <w:tab w:val="center" w:pos="4680"/>
        <w:tab w:val="right" w:pos="9360"/>
      </w:tabs>
      <w:spacing w:after="0" w:line="240" w:lineRule="auto"/>
    </w:pPr>
  </w:style>
  <w:style w:type="paragraph" w:customStyle="1" w:styleId="1tekst">
    <w:name w:val="1tekst"/>
    <w:basedOn w:val="Normal"/>
    <w:rsid w:val="00C1130A"/>
    <w:pPr>
      <w:spacing w:before="100" w:after="100" w:line="240" w:lineRule="auto"/>
      <w:ind w:firstLine="240"/>
      <w:jc w:val="both"/>
    </w:pPr>
    <w:rPr>
      <w:rFonts w:ascii="Times New Roman" w:eastAsia="Times New Roman" w:hAnsi="Times New Roma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47700&amp;action=propis&amp;path=04770001.html&amp;domain=0&amp;mark=false&amp;queries=&amp;searchType=1&amp;regulationType=1&amp;domain=0&amp;myFavorites=false&amp;dateFrom=&amp;dateTo=&amp;groups=-@--@--@--@--@-&amp;anchor=c0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600D2-0800-4B24-B95A-6235B0F24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Mladenovic</dc:creator>
  <dc:description/>
  <cp:lastModifiedBy>Andjelka Opacic</cp:lastModifiedBy>
  <cp:revision>3</cp:revision>
  <cp:lastPrinted>2020-04-13T13:10:00Z</cp:lastPrinted>
  <dcterms:created xsi:type="dcterms:W3CDTF">2020-04-13T11:48:00Z</dcterms:created>
  <dcterms:modified xsi:type="dcterms:W3CDTF">2020-04-13T13:10:00Z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